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386FCC" w:rsidRDefault="00386FCC">
      <w:pPr>
        <w:widowControl w:val="0"/>
        <w:pBdr>
          <w:top w:val="nil"/>
          <w:left w:val="nil"/>
          <w:bottom w:val="nil"/>
          <w:right w:val="nil"/>
          <w:between w:val="nil"/>
        </w:pBdr>
        <w:spacing w:after="0" w:line="276" w:lineRule="auto"/>
      </w:pPr>
      <w:bookmarkStart w:id="0" w:name="_26in1rg" w:colFirst="0" w:colLast="0"/>
      <w:bookmarkEnd w:id="0"/>
    </w:p>
    <w:p w14:paraId="00000002" w14:textId="2A94D4B1" w:rsidR="00386FCC" w:rsidRDefault="001F5B79">
      <w:pPr>
        <w:pBdr>
          <w:top w:val="nil"/>
          <w:left w:val="nil"/>
          <w:bottom w:val="nil"/>
          <w:right w:val="nil"/>
          <w:between w:val="nil"/>
        </w:pBdr>
        <w:tabs>
          <w:tab w:val="right" w:pos="9639"/>
        </w:tabs>
        <w:spacing w:after="0"/>
        <w:rPr>
          <w:rFonts w:ascii="Arial" w:eastAsia="Arial" w:hAnsi="Arial" w:cs="Arial"/>
          <w:b/>
          <w:color w:val="000000"/>
          <w:sz w:val="28"/>
          <w:szCs w:val="28"/>
        </w:rPr>
      </w:pPr>
      <w:r>
        <w:rPr>
          <w:rFonts w:ascii="Arial" w:eastAsia="Arial" w:hAnsi="Arial" w:cs="Arial"/>
          <w:b/>
          <w:color w:val="000000"/>
          <w:sz w:val="24"/>
          <w:szCs w:val="24"/>
        </w:rPr>
        <w:t>3GPP TSG-SA3 Meeting #</w:t>
      </w:r>
      <w:r>
        <w:rPr>
          <w:rFonts w:ascii="Arial" w:eastAsia="Arial" w:hAnsi="Arial" w:cs="Arial"/>
          <w:b/>
          <w:sz w:val="24"/>
          <w:szCs w:val="24"/>
        </w:rPr>
        <w:t>117</w:t>
      </w:r>
      <w:r>
        <w:rPr>
          <w:rFonts w:ascii="Arial" w:eastAsia="Arial" w:hAnsi="Arial" w:cs="Arial"/>
          <w:b/>
          <w:i/>
          <w:color w:val="000000"/>
          <w:sz w:val="28"/>
          <w:szCs w:val="28"/>
        </w:rPr>
        <w:tab/>
      </w:r>
      <w:r>
        <w:t xml:space="preserve">     </w:t>
      </w:r>
      <w:r w:rsidRPr="001F5B79">
        <w:rPr>
          <w:rFonts w:ascii="Arial" w:eastAsia="Arial" w:hAnsi="Arial" w:cs="Arial"/>
          <w:b/>
          <w:sz w:val="28"/>
          <w:szCs w:val="28"/>
        </w:rPr>
        <w:t>S3-243398</w:t>
      </w:r>
      <w:bookmarkStart w:id="1" w:name="_GoBack"/>
      <w:bookmarkEnd w:id="1"/>
    </w:p>
    <w:p w14:paraId="00000003" w14:textId="77777777" w:rsidR="00386FCC" w:rsidRDefault="001F5B7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Maastricht, Netherlands</w:t>
      </w:r>
      <w:r>
        <w:rPr>
          <w:rFonts w:ascii="Arial" w:eastAsia="Arial" w:hAnsi="Arial" w:cs="Arial"/>
          <w:b/>
          <w:color w:val="000000"/>
          <w:sz w:val="24"/>
          <w:szCs w:val="24"/>
        </w:rPr>
        <w:t xml:space="preserve">, </w:t>
      </w:r>
      <w:r>
        <w:rPr>
          <w:rFonts w:ascii="Arial" w:eastAsia="Arial" w:hAnsi="Arial" w:cs="Arial"/>
          <w:b/>
          <w:sz w:val="24"/>
          <w:szCs w:val="24"/>
        </w:rPr>
        <w:t>19</w:t>
      </w:r>
      <w:r>
        <w:rPr>
          <w:rFonts w:ascii="Arial" w:eastAsia="Arial" w:hAnsi="Arial" w:cs="Arial"/>
          <w:b/>
          <w:color w:val="000000"/>
          <w:sz w:val="24"/>
          <w:szCs w:val="24"/>
        </w:rPr>
        <w:t xml:space="preserve"> – </w:t>
      </w:r>
      <w:r>
        <w:rPr>
          <w:rFonts w:ascii="Arial" w:eastAsia="Arial" w:hAnsi="Arial" w:cs="Arial"/>
          <w:b/>
          <w:sz w:val="24"/>
          <w:szCs w:val="24"/>
        </w:rPr>
        <w:t>23</w:t>
      </w:r>
      <w:r>
        <w:rPr>
          <w:rFonts w:ascii="Arial" w:eastAsia="Arial" w:hAnsi="Arial" w:cs="Arial"/>
          <w:b/>
          <w:color w:val="000000"/>
          <w:sz w:val="24"/>
          <w:szCs w:val="24"/>
        </w:rPr>
        <w:t xml:space="preserve"> </w:t>
      </w:r>
      <w:r>
        <w:rPr>
          <w:rFonts w:ascii="Arial" w:eastAsia="Arial" w:hAnsi="Arial" w:cs="Arial"/>
          <w:b/>
          <w:sz w:val="24"/>
          <w:szCs w:val="24"/>
        </w:rPr>
        <w:t xml:space="preserve">August </w:t>
      </w:r>
      <w:r>
        <w:rPr>
          <w:rFonts w:ascii="Arial" w:eastAsia="Arial" w:hAnsi="Arial" w:cs="Arial"/>
          <w:b/>
          <w:color w:val="000000"/>
          <w:sz w:val="24"/>
          <w:szCs w:val="24"/>
        </w:rPr>
        <w:t>2024</w:t>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t xml:space="preserve">   </w:t>
      </w:r>
    </w:p>
    <w:p w14:paraId="00000004" w14:textId="77777777" w:rsidR="00386FCC" w:rsidRDefault="00386FCC">
      <w:pPr>
        <w:keepNext/>
        <w:pBdr>
          <w:bottom w:val="single" w:sz="4" w:space="1" w:color="000000"/>
        </w:pBdr>
        <w:tabs>
          <w:tab w:val="right" w:pos="9639"/>
        </w:tabs>
        <w:rPr>
          <w:rFonts w:ascii="Arial" w:eastAsia="Arial" w:hAnsi="Arial" w:cs="Arial"/>
          <w:b/>
          <w:sz w:val="24"/>
          <w:szCs w:val="24"/>
        </w:rPr>
      </w:pPr>
    </w:p>
    <w:p w14:paraId="00000005" w14:textId="77777777" w:rsidR="00386FCC" w:rsidRDefault="001F5B79">
      <w:pPr>
        <w:keepNext/>
        <w:tabs>
          <w:tab w:val="left" w:pos="2127"/>
        </w:tabs>
        <w:spacing w:after="0"/>
        <w:ind w:left="2126" w:hanging="2126"/>
        <w:rPr>
          <w:rFonts w:ascii="Arial" w:eastAsia="Arial" w:hAnsi="Arial" w:cs="Arial"/>
          <w:b/>
        </w:rPr>
      </w:pPr>
      <w:r>
        <w:rPr>
          <w:rFonts w:ascii="Arial" w:eastAsia="Arial" w:hAnsi="Arial" w:cs="Arial"/>
          <w:b/>
        </w:rPr>
        <w:t>Source:</w:t>
      </w:r>
      <w:r>
        <w:rPr>
          <w:rFonts w:ascii="Arial" w:eastAsia="Arial" w:hAnsi="Arial" w:cs="Arial"/>
          <w:b/>
        </w:rPr>
        <w:tab/>
        <w:t>Google</w:t>
      </w:r>
    </w:p>
    <w:p w14:paraId="00000006" w14:textId="77777777" w:rsidR="00386FCC" w:rsidRDefault="001F5B79">
      <w:pPr>
        <w:keepNext/>
        <w:tabs>
          <w:tab w:val="left" w:pos="2127"/>
        </w:tabs>
        <w:spacing w:after="0"/>
        <w:ind w:left="2126" w:hanging="2126"/>
        <w:rPr>
          <w:rFonts w:ascii="Arial" w:eastAsia="Arial" w:hAnsi="Arial" w:cs="Arial"/>
          <w:b/>
        </w:rPr>
      </w:pPr>
      <w:r>
        <w:rPr>
          <w:rFonts w:ascii="Arial" w:eastAsia="Arial" w:hAnsi="Arial" w:cs="Arial"/>
          <w:b/>
        </w:rPr>
        <w:t>Title:</w:t>
      </w:r>
      <w:r>
        <w:rPr>
          <w:rFonts w:ascii="Arial" w:eastAsia="Arial" w:hAnsi="Arial" w:cs="Arial"/>
          <w:b/>
        </w:rPr>
        <w:tab/>
        <w:t xml:space="preserve">Proposed solution for Secure Transport of Messages </w:t>
      </w:r>
    </w:p>
    <w:p w14:paraId="00000007" w14:textId="77777777" w:rsidR="00386FCC" w:rsidRDefault="001F5B79">
      <w:pPr>
        <w:keepNext/>
        <w:tabs>
          <w:tab w:val="left" w:pos="2127"/>
        </w:tabs>
        <w:spacing w:after="0"/>
        <w:ind w:left="2126" w:hanging="2126"/>
        <w:rPr>
          <w:rFonts w:ascii="Arial" w:eastAsia="Arial" w:hAnsi="Arial" w:cs="Arial"/>
          <w:b/>
        </w:rPr>
      </w:pPr>
      <w:r>
        <w:rPr>
          <w:rFonts w:ascii="Arial" w:eastAsia="Arial" w:hAnsi="Arial" w:cs="Arial"/>
          <w:b/>
        </w:rPr>
        <w:t>Document for:</w:t>
      </w:r>
      <w:r>
        <w:rPr>
          <w:rFonts w:ascii="Arial" w:eastAsia="Arial" w:hAnsi="Arial" w:cs="Arial"/>
          <w:b/>
        </w:rPr>
        <w:tab/>
        <w:t>Approval</w:t>
      </w:r>
    </w:p>
    <w:p w14:paraId="00000008" w14:textId="77777777" w:rsidR="00386FCC" w:rsidRDefault="001F5B79">
      <w:pPr>
        <w:keepNext/>
        <w:pBdr>
          <w:bottom w:val="single" w:sz="4" w:space="1" w:color="000000"/>
        </w:pBdr>
        <w:tabs>
          <w:tab w:val="left" w:pos="2127"/>
        </w:tabs>
        <w:spacing w:after="0"/>
        <w:ind w:left="2126" w:hanging="2126"/>
        <w:rPr>
          <w:rFonts w:ascii="Arial" w:eastAsia="Arial" w:hAnsi="Arial" w:cs="Arial"/>
          <w:b/>
        </w:rPr>
      </w:pPr>
      <w:r>
        <w:rPr>
          <w:rFonts w:ascii="Arial" w:eastAsia="Arial" w:hAnsi="Arial" w:cs="Arial"/>
          <w:b/>
        </w:rPr>
        <w:t>Agenda Item:</w:t>
      </w:r>
      <w:r>
        <w:rPr>
          <w:rFonts w:ascii="Arial" w:eastAsia="Arial" w:hAnsi="Arial" w:cs="Arial"/>
          <w:b/>
        </w:rPr>
        <w:tab/>
        <w:t>5.4</w:t>
      </w:r>
    </w:p>
    <w:p w14:paraId="00000009" w14:textId="77777777" w:rsidR="00386FCC" w:rsidRDefault="001F5B79">
      <w:pPr>
        <w:pStyle w:val="Heading1"/>
      </w:pPr>
      <w:r>
        <w:t>1</w:t>
      </w:r>
      <w:r>
        <w:tab/>
        <w:t>Decision/action requested</w:t>
      </w:r>
    </w:p>
    <w:p w14:paraId="0000000A" w14:textId="77777777" w:rsidR="00386FCC" w:rsidRDefault="001F5B79">
      <w:pPr>
        <w:pBdr>
          <w:top w:val="single" w:sz="4" w:space="1" w:color="000000"/>
          <w:left w:val="single" w:sz="4" w:space="4" w:color="000000"/>
          <w:bottom w:val="single" w:sz="4" w:space="1" w:color="000000"/>
          <w:right w:val="single" w:sz="4" w:space="4" w:color="000000"/>
        </w:pBdr>
        <w:shd w:val="clear" w:color="auto" w:fill="FFFF99"/>
        <w:jc w:val="center"/>
        <w:rPr>
          <w:b/>
          <w:i/>
        </w:rPr>
      </w:pPr>
      <w:r>
        <w:rPr>
          <w:b/>
          <w:i/>
        </w:rPr>
        <w:t>Approval of a new solution to address KI#2 in TR 33.776.</w:t>
      </w:r>
    </w:p>
    <w:p w14:paraId="0000000B" w14:textId="77777777" w:rsidR="00386FCC" w:rsidRDefault="001F5B79">
      <w:pPr>
        <w:pStyle w:val="Heading1"/>
      </w:pPr>
      <w:r>
        <w:t>2</w:t>
      </w:r>
      <w:r>
        <w:tab/>
        <w:t>References</w:t>
      </w:r>
    </w:p>
    <w:p w14:paraId="0000000C" w14:textId="77777777" w:rsidR="00386FCC" w:rsidRDefault="001F5B79">
      <w:pPr>
        <w:pBdr>
          <w:top w:val="nil"/>
          <w:left w:val="nil"/>
          <w:bottom w:val="nil"/>
          <w:right w:val="nil"/>
          <w:between w:val="nil"/>
        </w:pBdr>
        <w:tabs>
          <w:tab w:val="left" w:pos="851"/>
        </w:tabs>
        <w:ind w:left="851" w:hanging="851"/>
      </w:pPr>
      <w:r>
        <w:rPr>
          <w:color w:val="000000"/>
        </w:rPr>
        <w:t>[1]</w:t>
      </w:r>
      <w:r>
        <w:rPr>
          <w:color w:val="000000"/>
        </w:rPr>
        <w:tab/>
      </w:r>
      <w:r>
        <w:t>3GPP TR 33.776: “Study of ACME for Automated Certificate Management in SBA”</w:t>
      </w:r>
    </w:p>
    <w:p w14:paraId="0000000D" w14:textId="77777777" w:rsidR="00386FCC" w:rsidRDefault="001F5B79">
      <w:pPr>
        <w:pBdr>
          <w:top w:val="nil"/>
          <w:left w:val="nil"/>
          <w:bottom w:val="nil"/>
          <w:right w:val="nil"/>
          <w:between w:val="nil"/>
        </w:pBdr>
        <w:tabs>
          <w:tab w:val="left" w:pos="851"/>
        </w:tabs>
        <w:ind w:left="851" w:hanging="851"/>
      </w:pPr>
      <w:r>
        <w:t>[2]</w:t>
      </w:r>
      <w:r>
        <w:tab/>
        <w:t>3GPP TS 33.310: “Network Domain Security (NDS); Authentication Framework (AF)”</w:t>
      </w:r>
    </w:p>
    <w:p w14:paraId="0000000E" w14:textId="77777777" w:rsidR="00386FCC" w:rsidRDefault="001F5B79">
      <w:pPr>
        <w:pBdr>
          <w:top w:val="nil"/>
          <w:left w:val="nil"/>
          <w:bottom w:val="nil"/>
          <w:right w:val="nil"/>
          <w:between w:val="nil"/>
        </w:pBdr>
        <w:tabs>
          <w:tab w:val="left" w:pos="851"/>
        </w:tabs>
        <w:ind w:left="851" w:hanging="851"/>
      </w:pPr>
      <w:r>
        <w:t>[3]</w:t>
      </w:r>
      <w:r>
        <w:tab/>
      </w:r>
      <w:r>
        <w:t>IETF RFC 8555: “Automatic Certificate Management Environment (ACME)”, 2019</w:t>
      </w:r>
    </w:p>
    <w:p w14:paraId="0000000F" w14:textId="77777777" w:rsidR="00386FCC" w:rsidRDefault="001F5B79">
      <w:pPr>
        <w:pBdr>
          <w:top w:val="nil"/>
          <w:left w:val="nil"/>
          <w:bottom w:val="nil"/>
          <w:right w:val="nil"/>
          <w:between w:val="nil"/>
        </w:pBdr>
        <w:tabs>
          <w:tab w:val="left" w:pos="851"/>
        </w:tabs>
        <w:ind w:left="851" w:hanging="851"/>
      </w:pPr>
      <w:r>
        <w:t>[4]</w:t>
      </w:r>
      <w:r>
        <w:tab/>
        <w:t>TS 23.003 “Numbering, addressing and identification”, 2020</w:t>
      </w:r>
    </w:p>
    <w:p w14:paraId="00000010" w14:textId="77777777" w:rsidR="00386FCC" w:rsidRDefault="001F5B79">
      <w:pPr>
        <w:pBdr>
          <w:top w:val="nil"/>
          <w:left w:val="nil"/>
          <w:bottom w:val="nil"/>
          <w:right w:val="nil"/>
          <w:between w:val="nil"/>
        </w:pBdr>
        <w:tabs>
          <w:tab w:val="left" w:pos="851"/>
        </w:tabs>
        <w:ind w:left="851" w:hanging="851"/>
      </w:pPr>
      <w:r>
        <w:t>[5]</w:t>
      </w:r>
      <w:r>
        <w:tab/>
        <w:t>IETF RFC 7515: “JSON Web Signature (JWS)”, 2015</w:t>
      </w:r>
    </w:p>
    <w:p w14:paraId="00000011" w14:textId="77777777" w:rsidR="00386FCC" w:rsidRDefault="00386FCC">
      <w:pPr>
        <w:pBdr>
          <w:top w:val="nil"/>
          <w:left w:val="nil"/>
          <w:bottom w:val="nil"/>
          <w:right w:val="nil"/>
          <w:between w:val="nil"/>
        </w:pBdr>
        <w:tabs>
          <w:tab w:val="left" w:pos="851"/>
        </w:tabs>
        <w:ind w:left="851" w:hanging="851"/>
      </w:pPr>
    </w:p>
    <w:p w14:paraId="00000012" w14:textId="77777777" w:rsidR="00386FCC" w:rsidRDefault="001F5B79">
      <w:pPr>
        <w:pStyle w:val="Heading1"/>
      </w:pPr>
      <w:r>
        <w:t>3</w:t>
      </w:r>
      <w:r>
        <w:tab/>
        <w:t>Rationale</w:t>
      </w:r>
    </w:p>
    <w:p w14:paraId="00000013" w14:textId="77777777" w:rsidR="00386FCC" w:rsidRDefault="001F5B79">
      <w:bookmarkStart w:id="2" w:name="_b8hxwxtr57te" w:colFirst="0" w:colLast="0"/>
      <w:bookmarkEnd w:id="2"/>
      <w:r>
        <w:t xml:space="preserve">This contribution proposes a solution that addresses </w:t>
      </w:r>
      <w:r>
        <w:t>Key Issue #2 - Secure transport of messages, as defined in TR 33.776 [1]. The solution is based on use of the ACME protocol, as defined in RFC 8555 [3].</w:t>
      </w:r>
    </w:p>
    <w:p w14:paraId="00000014" w14:textId="77777777" w:rsidR="00386FCC" w:rsidRDefault="001F5B79">
      <w:pPr>
        <w:pStyle w:val="Heading1"/>
        <w:rPr>
          <w:sz w:val="24"/>
          <w:szCs w:val="24"/>
        </w:rPr>
      </w:pPr>
      <w:r>
        <w:t>4</w:t>
      </w:r>
      <w:r>
        <w:tab/>
        <w:t>Detailed proposal</w:t>
      </w:r>
    </w:p>
    <w:p w14:paraId="00000015" w14:textId="77777777" w:rsidR="00386FCC" w:rsidRDefault="001F5B79">
      <w:pPr>
        <w:jc w:val="center"/>
        <w:rPr>
          <w:color w:val="4472C4"/>
          <w:sz w:val="24"/>
          <w:szCs w:val="24"/>
        </w:rPr>
      </w:pPr>
      <w:r>
        <w:rPr>
          <w:color w:val="4472C4"/>
          <w:sz w:val="24"/>
          <w:szCs w:val="24"/>
        </w:rPr>
        <w:t>***</w:t>
      </w:r>
      <w:r>
        <w:rPr>
          <w:color w:val="4472C4"/>
          <w:sz w:val="24"/>
          <w:szCs w:val="24"/>
        </w:rPr>
        <w:tab/>
        <w:t>BEGINNING OF CHANGES (all text new) ***</w:t>
      </w:r>
    </w:p>
    <w:p w14:paraId="00000016" w14:textId="77777777" w:rsidR="00386FCC" w:rsidRDefault="001F5B79">
      <w:pPr>
        <w:pStyle w:val="Heading2"/>
      </w:pPr>
      <w:bookmarkStart w:id="3" w:name="_gjdgxs" w:colFirst="0" w:colLast="0"/>
      <w:bookmarkEnd w:id="3"/>
      <w:r>
        <w:t>6.x</w:t>
      </w:r>
      <w:r>
        <w:tab/>
      </w:r>
      <w:r>
        <w:t xml:space="preserve">Solution #x: Using ACME protocol for secure transport of messages  </w:t>
      </w:r>
    </w:p>
    <w:p w14:paraId="00000017" w14:textId="77777777" w:rsidR="00386FCC" w:rsidRDefault="001F5B79">
      <w:pPr>
        <w:pStyle w:val="Heading3"/>
      </w:pPr>
      <w:bookmarkStart w:id="4" w:name="_2nusc19" w:colFirst="0" w:colLast="0"/>
      <w:bookmarkEnd w:id="4"/>
      <w:r>
        <w:t>6.x.1</w:t>
      </w:r>
      <w:r>
        <w:tab/>
        <w:t>Introduction</w:t>
      </w:r>
    </w:p>
    <w:p w14:paraId="00000018" w14:textId="77777777" w:rsidR="00386FCC" w:rsidRDefault="001F5B79">
      <w:bookmarkStart w:id="5" w:name="_1302m92" w:colFirst="0" w:colLast="0"/>
      <w:bookmarkEnd w:id="5"/>
      <w:r>
        <w:t>This contribution addresses key issue #2, and in particular the requirement that the messages exchanged during ACME automated certificate management procedures are integ</w:t>
      </w:r>
      <w:r>
        <w:t>rity protected, confidentiality protected, replay protected, and mutually authenticated.</w:t>
      </w:r>
    </w:p>
    <w:p w14:paraId="00000019" w14:textId="77777777" w:rsidR="00386FCC" w:rsidRDefault="001F5B79">
      <w:pPr>
        <w:pStyle w:val="Heading3"/>
      </w:pPr>
      <w:bookmarkStart w:id="6" w:name="_30j0zll" w:colFirst="0" w:colLast="0"/>
      <w:bookmarkEnd w:id="6"/>
      <w:r>
        <w:t>6.x.2</w:t>
      </w:r>
      <w:r>
        <w:tab/>
        <w:t>Solution details</w:t>
      </w:r>
    </w:p>
    <w:p w14:paraId="0000001A" w14:textId="77777777" w:rsidR="00386FCC" w:rsidRDefault="001F5B79">
      <w:pPr>
        <w:spacing w:after="120"/>
      </w:pPr>
      <w:r>
        <w:rPr>
          <w:sz w:val="22"/>
          <w:szCs w:val="22"/>
        </w:rPr>
        <w:t>The solution assumes that initial trust between end entities (i.e., ACME client and ACME server) has been established based on clause 10.2.2.2 o</w:t>
      </w:r>
      <w:r>
        <w:rPr>
          <w:sz w:val="22"/>
          <w:szCs w:val="22"/>
        </w:rPr>
        <w:t xml:space="preserve">f TS 33.310 [2]. Additionally, it is worth noting that the CA/RA </w:t>
      </w:r>
      <w:proofErr w:type="gramStart"/>
      <w:r>
        <w:rPr>
          <w:sz w:val="22"/>
          <w:szCs w:val="22"/>
        </w:rPr>
        <w:t>holds  a</w:t>
      </w:r>
      <w:proofErr w:type="gramEnd"/>
      <w:r>
        <w:rPr>
          <w:sz w:val="22"/>
          <w:szCs w:val="22"/>
        </w:rPr>
        <w:t xml:space="preserve"> signing key and a certificate for TLS which it will use to authenticate an ACME client (5G NF). </w:t>
      </w:r>
    </w:p>
    <w:p w14:paraId="0000001B" w14:textId="77777777" w:rsidR="00386FCC" w:rsidRDefault="001F5B79">
      <w:r>
        <w:t xml:space="preserve">This solution is based in RFC 8555 [3] wherein the communication between ACME client </w:t>
      </w:r>
      <w:r>
        <w:t xml:space="preserve">(CNF) and the ACME server (CA/RA) are done using HTTPS [RFC2818] using JSON Web Signature (JWS) for additional security for messages sent from client to server. </w:t>
      </w:r>
    </w:p>
    <w:p w14:paraId="0000001C" w14:textId="77777777" w:rsidR="00386FCC" w:rsidRDefault="001F5B79">
      <w:r>
        <w:t>For confidentiality, an ACME client shall use HTTPS when sending a request to the ACME server.</w:t>
      </w:r>
      <w:r>
        <w:t xml:space="preserve"> When using ACME, usually an ACME client is an HTTPS client and ACME server is an HTTPS server, however, an ACME server may act as HTTPS client when validating challenges as described in RFC 8555 [3]. </w:t>
      </w:r>
    </w:p>
    <w:p w14:paraId="0000001D" w14:textId="77777777" w:rsidR="00386FCC" w:rsidRDefault="001F5B79">
      <w:r>
        <w:lastRenderedPageBreak/>
        <w:t>All ACME requests with a non-empty body shall encapsul</w:t>
      </w:r>
      <w:r>
        <w:t>ate their payload in a JWS object [5] signed using that account’s private key with a GET request. The server shall verify the JWS before processing the request and follow the criteria as described in RFC 8555 [3]. When an ACME client fetches a resource fro</w:t>
      </w:r>
      <w:r>
        <w:t xml:space="preserve">m an ACME server it shall send a POST request with an empty JSON body referred to as ‘POST-as-GET’ request. The server shall authenticate the requester and verify any access control as described in RFC 8555 [3]. In </w:t>
      </w:r>
      <w:proofErr w:type="gramStart"/>
      <w:r>
        <w:t>addition</w:t>
      </w:r>
      <w:proofErr w:type="gramEnd"/>
      <w:r>
        <w:t xml:space="preserve"> the ACME server shall allow GET </w:t>
      </w:r>
      <w:r>
        <w:t xml:space="preserve">requests and </w:t>
      </w:r>
      <w:proofErr w:type="spellStart"/>
      <w:r>
        <w:t>newNonce</w:t>
      </w:r>
      <w:proofErr w:type="spellEnd"/>
      <w:r>
        <w:t xml:space="preserve"> resources for these resources.   </w:t>
      </w:r>
    </w:p>
    <w:p w14:paraId="0000001E" w14:textId="77777777" w:rsidR="00386FCC" w:rsidRDefault="001F5B79">
      <w:r>
        <w:t>ACME for 5G SBA will use JWS to provide integrity protection. This header parameter in ACME request encodes the URL to which the client is directing the request. All ACME request objects carry a “</w:t>
      </w:r>
      <w:proofErr w:type="spellStart"/>
      <w:r>
        <w:t>url</w:t>
      </w:r>
      <w:proofErr w:type="spellEnd"/>
      <w:r>
        <w:t>”</w:t>
      </w:r>
      <w:r>
        <w:t xml:space="preserve"> header parameter in their protected header. The receiving server MUST </w:t>
      </w:r>
      <w:proofErr w:type="gramStart"/>
      <w:r>
        <w:t>compare  the</w:t>
      </w:r>
      <w:proofErr w:type="gramEnd"/>
      <w:r>
        <w:t xml:space="preserve"> "</w:t>
      </w:r>
      <w:proofErr w:type="spellStart"/>
      <w:r>
        <w:t>url</w:t>
      </w:r>
      <w:proofErr w:type="spellEnd"/>
      <w:r>
        <w:t>" header parameter to the request URL to match the request as described in RFC 8555 [3].</w:t>
      </w:r>
    </w:p>
    <w:p w14:paraId="0000001F" w14:textId="77777777" w:rsidR="00386FCC" w:rsidRDefault="001F5B79">
      <w:r>
        <w:t xml:space="preserve">ACME protocol uses </w:t>
      </w:r>
      <w:proofErr w:type="spellStart"/>
      <w:r>
        <w:t>nonces</w:t>
      </w:r>
      <w:proofErr w:type="spellEnd"/>
      <w:r>
        <w:t xml:space="preserve"> to protect messages against replay-attacks. An ACME s</w:t>
      </w:r>
      <w:r>
        <w:t xml:space="preserve">erver shall maintain a list of </w:t>
      </w:r>
      <w:proofErr w:type="spellStart"/>
      <w:r>
        <w:t>nonces</w:t>
      </w:r>
      <w:proofErr w:type="spellEnd"/>
      <w:r>
        <w:t xml:space="preserve"> that it has issued, and require any signed request from the client to carry such a nonce. An ACME server provides </w:t>
      </w:r>
      <w:proofErr w:type="spellStart"/>
      <w:r>
        <w:t>nonces</w:t>
      </w:r>
      <w:proofErr w:type="spellEnd"/>
      <w:r>
        <w:t xml:space="preserve"> to clients using the HTTP Replay-Nonce header field. The server shall include a Replay-Nonce head</w:t>
      </w:r>
      <w:r>
        <w:t>er field in every successful response to a POST request and may provide it in error responses as described by RFC 8555 [3]. The Replay-Nonce HTTP header field includes a server-generated value that the server can use to detect unauthorised replay in future</w:t>
      </w:r>
      <w:r>
        <w:t xml:space="preserve"> client requests. </w:t>
      </w:r>
    </w:p>
    <w:p w14:paraId="00000020" w14:textId="77777777" w:rsidR="00386FCC" w:rsidRDefault="00386FCC">
      <w:pPr>
        <w:pStyle w:val="Heading3"/>
      </w:pPr>
      <w:bookmarkStart w:id="7" w:name="_1fob9te" w:colFirst="0" w:colLast="0"/>
      <w:bookmarkEnd w:id="7"/>
    </w:p>
    <w:p w14:paraId="00000021" w14:textId="77777777" w:rsidR="00386FCC" w:rsidRDefault="001F5B79">
      <w:pPr>
        <w:pStyle w:val="Heading3"/>
      </w:pPr>
      <w:bookmarkStart w:id="8" w:name="_lnxbz9" w:colFirst="0" w:colLast="0"/>
      <w:bookmarkEnd w:id="8"/>
      <w:r>
        <w:t>6.x.3 Evaluation</w:t>
      </w:r>
    </w:p>
    <w:p w14:paraId="00000022" w14:textId="77777777" w:rsidR="00386FCC" w:rsidRDefault="001F5B79">
      <w:pPr>
        <w:rPr>
          <w:sz w:val="24"/>
          <w:szCs w:val="24"/>
        </w:rPr>
      </w:pPr>
      <w:r>
        <w:rPr>
          <w:sz w:val="24"/>
          <w:szCs w:val="24"/>
        </w:rPr>
        <w:t xml:space="preserve">This solution addresses KI#2. </w:t>
      </w:r>
    </w:p>
    <w:p w14:paraId="00000023" w14:textId="77777777" w:rsidR="00386FCC" w:rsidRDefault="001F5B79">
      <w:pPr>
        <w:rPr>
          <w:sz w:val="24"/>
          <w:szCs w:val="24"/>
        </w:rPr>
      </w:pPr>
      <w:r>
        <w:rPr>
          <w:sz w:val="24"/>
          <w:szCs w:val="24"/>
        </w:rPr>
        <w:t xml:space="preserve">This solution impacts 5G core network function and 5G OAM system.   </w:t>
      </w:r>
    </w:p>
    <w:p w14:paraId="00000024" w14:textId="77777777" w:rsidR="00386FCC" w:rsidRDefault="001F5B79">
      <w:pPr>
        <w:rPr>
          <w:sz w:val="24"/>
          <w:szCs w:val="24"/>
        </w:rPr>
      </w:pPr>
      <w:r>
        <w:rPr>
          <w:sz w:val="24"/>
          <w:szCs w:val="24"/>
        </w:rPr>
        <w:t xml:space="preserve">This solution addresses all the features required for a secure transport of messages between a 5G NF (ACME client) and </w:t>
      </w:r>
      <w:r>
        <w:rPr>
          <w:sz w:val="24"/>
          <w:szCs w:val="24"/>
        </w:rPr>
        <w:t xml:space="preserve">a CA/RA which include mutual authentication, integrity protection, confidentiality protection, and replay protection.  </w:t>
      </w:r>
    </w:p>
    <w:p w14:paraId="00000025" w14:textId="77777777" w:rsidR="00386FCC" w:rsidRDefault="00386FCC">
      <w:pPr>
        <w:jc w:val="center"/>
        <w:rPr>
          <w:color w:val="4472C4"/>
          <w:sz w:val="24"/>
          <w:szCs w:val="24"/>
        </w:rPr>
      </w:pPr>
    </w:p>
    <w:p w14:paraId="00000026" w14:textId="77777777" w:rsidR="00386FCC" w:rsidRDefault="001F5B79">
      <w:pPr>
        <w:jc w:val="center"/>
        <w:rPr>
          <w:color w:val="4472C4"/>
          <w:sz w:val="24"/>
          <w:szCs w:val="24"/>
        </w:rPr>
      </w:pPr>
      <w:r>
        <w:rPr>
          <w:color w:val="4472C4"/>
          <w:sz w:val="24"/>
          <w:szCs w:val="24"/>
        </w:rPr>
        <w:t>***</w:t>
      </w:r>
      <w:r>
        <w:rPr>
          <w:color w:val="4472C4"/>
          <w:sz w:val="24"/>
          <w:szCs w:val="24"/>
        </w:rPr>
        <w:tab/>
        <w:t>END OF CHANGES</w:t>
      </w:r>
      <w:r>
        <w:rPr>
          <w:color w:val="4472C4"/>
          <w:sz w:val="24"/>
          <w:szCs w:val="24"/>
        </w:rPr>
        <w:tab/>
        <w:t>***</w:t>
      </w:r>
    </w:p>
    <w:p w14:paraId="00000027" w14:textId="77777777" w:rsidR="00386FCC" w:rsidRDefault="00386FCC">
      <w:pPr>
        <w:jc w:val="center"/>
        <w:rPr>
          <w:color w:val="4472C4"/>
          <w:sz w:val="24"/>
          <w:szCs w:val="24"/>
        </w:rPr>
      </w:pPr>
    </w:p>
    <w:p w14:paraId="00000028" w14:textId="77777777" w:rsidR="00386FCC" w:rsidRDefault="00386FCC">
      <w:pPr>
        <w:jc w:val="center"/>
        <w:rPr>
          <w:color w:val="4472C4"/>
          <w:sz w:val="24"/>
          <w:szCs w:val="24"/>
        </w:rPr>
      </w:pPr>
    </w:p>
    <w:sectPr w:rsidR="00386FCC">
      <w:pgSz w:w="11907" w:h="16840"/>
      <w:pgMar w:top="567" w:right="1134" w:bottom="567" w:left="1134" w:header="680" w:footer="567"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FCC"/>
    <w:rsid w:val="001F5B79"/>
    <w:rsid w:val="00386F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55C8A9-D45A-4C54-BD41-0E2B84947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US" w:bidi="ar-SA"/>
      </w:rPr>
    </w:rPrDefault>
    <w:pPrDefault>
      <w:pPr>
        <w:spacing w:after="18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1134" w:hanging="1134"/>
      <w:outlineLvl w:val="0"/>
    </w:pPr>
    <w:rPr>
      <w:rFonts w:ascii="Arial" w:eastAsia="Arial" w:hAnsi="Arial" w:cs="Arial"/>
      <w:color w:val="000000"/>
      <w:sz w:val="36"/>
      <w:szCs w:val="36"/>
    </w:rPr>
  </w:style>
  <w:style w:type="paragraph" w:styleId="Heading2">
    <w:name w:val="heading 2"/>
    <w:basedOn w:val="Normal"/>
    <w:next w:val="Normal"/>
    <w:uiPriority w:val="9"/>
    <w:unhideWhenUsed/>
    <w:qFormat/>
    <w:pPr>
      <w:keepNext/>
      <w:keepLines/>
      <w:pBdr>
        <w:top w:val="none" w:sz="0" w:space="0" w:color="000000"/>
        <w:left w:val="nil"/>
        <w:bottom w:val="nil"/>
        <w:right w:val="nil"/>
        <w:between w:val="nil"/>
      </w:pBdr>
      <w:spacing w:before="180"/>
      <w:ind w:left="1134" w:hanging="1134"/>
      <w:outlineLvl w:val="1"/>
    </w:pPr>
    <w:rPr>
      <w:rFonts w:ascii="Arial" w:eastAsia="Arial" w:hAnsi="Arial" w:cs="Arial"/>
      <w:color w:val="000000"/>
      <w:sz w:val="32"/>
      <w:szCs w:val="32"/>
    </w:rPr>
  </w:style>
  <w:style w:type="paragraph" w:styleId="Heading3">
    <w:name w:val="heading 3"/>
    <w:basedOn w:val="Normal"/>
    <w:next w:val="Normal"/>
    <w:uiPriority w:val="9"/>
    <w:unhideWhenUsed/>
    <w:qFormat/>
    <w:pPr>
      <w:keepNext/>
      <w:keepLines/>
      <w:pBdr>
        <w:top w:val="none" w:sz="0" w:space="0" w:color="000000"/>
        <w:left w:val="nil"/>
        <w:bottom w:val="nil"/>
        <w:right w:val="nil"/>
        <w:between w:val="nil"/>
      </w:pBdr>
      <w:spacing w:before="120"/>
      <w:ind w:left="1134" w:hanging="1134"/>
      <w:outlineLvl w:val="2"/>
    </w:pPr>
    <w:rPr>
      <w:rFonts w:ascii="Arial" w:eastAsia="Arial" w:hAnsi="Arial" w:cs="Arial"/>
      <w:color w:val="000000"/>
      <w:sz w:val="28"/>
      <w:szCs w:val="28"/>
    </w:rPr>
  </w:style>
  <w:style w:type="paragraph" w:styleId="Heading4">
    <w:name w:val="heading 4"/>
    <w:basedOn w:val="Normal"/>
    <w:next w:val="Normal"/>
    <w:uiPriority w:val="9"/>
    <w:semiHidden/>
    <w:unhideWhenUsed/>
    <w:qFormat/>
    <w:pPr>
      <w:keepNext/>
      <w:keepLines/>
      <w:pBdr>
        <w:top w:val="none" w:sz="0" w:space="0" w:color="000000"/>
        <w:left w:val="nil"/>
        <w:bottom w:val="nil"/>
        <w:right w:val="nil"/>
        <w:between w:val="nil"/>
      </w:pBdr>
      <w:spacing w:before="120"/>
      <w:ind w:left="1418" w:hanging="1418"/>
      <w:outlineLvl w:val="3"/>
    </w:pPr>
    <w:rPr>
      <w:rFonts w:ascii="Arial" w:eastAsia="Arial" w:hAnsi="Arial" w:cs="Arial"/>
      <w:color w:val="000000"/>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701" w:hanging="1701"/>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623</Words>
  <Characters>3554</Characters>
  <Application>Microsoft Office Word</Application>
  <DocSecurity>0</DocSecurity>
  <Lines>29</Lines>
  <Paragraphs>8</Paragraphs>
  <ScaleCrop>false</ScaleCrop>
  <Company/>
  <LinksUpToDate>false</LinksUpToDate>
  <CharactersWithSpaces>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Jiwan Ninglekhu</cp:lastModifiedBy>
  <cp:revision>2</cp:revision>
  <dcterms:created xsi:type="dcterms:W3CDTF">2024-08-18T15:10:00Z</dcterms:created>
  <dcterms:modified xsi:type="dcterms:W3CDTF">2024-08-18T15:11:00Z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(3)Fg6+uE7SvGsZ9/pwkjkBLp4nDWqgDnYe3u0VLcIeiOSbmo/gCFKjR6n18CkmALM83uYOVriHzJ9nvOB15OWfWDROfR8JDDi7KFZxspsTBFJZLLMATaqjGipiKw/ksdAM2EkMZeUGSDoam0prtoWYRIT7i7qsLP7vzm8clCbdc9Atdlf6W91AcF8bznCW3YkMEIjYkYC63sv/BR+bQ2/esRcv0x/6+oufi9t3W9knWU</vt:lpwstr>
  </property>
  <property fmtid="{D5CDD505-2E9C-101B-9397-08002B2CF9AE}" pid="3" name="_2015_ms_pID_7253431">
    <vt:lpwstr>6RrxXNR3pAZp6+EfDY3R9ctAIyBiFV+qtMbhba0czS25BhUG7rjTBE/MtAIO+LnkxC201IE9S1+JykfkZpgQiraveoUTe/FKREEYITtNK28LHgQGbCf+0cZxvz8O3zE+tlcqeSSyNXnG302ynZrQsgrx/JKqnt3eWjFkeWvq2t6VG9t0joIdicj9kHEaDuvC0FxYkjyRlp/RrBX5kZBOjSampOLvtYR8Tf4lT+tPJ9</vt:lpwstr>
  </property>
  <property fmtid="{D5CDD505-2E9C-101B-9397-08002B2CF9AE}" pid="4" name="_2015_ms_pID_7253432">
    <vt:lpwstr>LQ==</vt:lpwstr>
  </property>
  <property fmtid="{D5CDD505-2E9C-101B-9397-08002B2CF9AE}" pid="5" name="_readonly">
    <vt:lpwstr>_readonly</vt:lpwstr>
  </property>
  <property fmtid="{D5CDD505-2E9C-101B-9397-08002B2CF9AE}" pid="6" name="_change">
    <vt:lpwstr>_change</vt:lpwstr>
  </property>
  <property fmtid="{D5CDD505-2E9C-101B-9397-08002B2CF9AE}" pid="7" name="_full-control">
    <vt:lpwstr>_full-control</vt:lpwstr>
  </property>
  <property fmtid="{D5CDD505-2E9C-101B-9397-08002B2CF9AE}" pid="8" name="sflag">
    <vt:lpwstr>1613979785</vt:lpwstr>
  </property>
  <property fmtid="{D5CDD505-2E9C-101B-9397-08002B2CF9AE}" pid="9" name="MSIP_Label_ea60d57e-af5b-4752-ac57-3e4f28ca11dc_Enabled">
    <vt:lpwstr>true</vt:lpwstr>
  </property>
  <property fmtid="{D5CDD505-2E9C-101B-9397-08002B2CF9AE}" pid="10" name="MSIP_Label_ea60d57e-af5b-4752-ac57-3e4f28ca11dc_SetDate">
    <vt:lpwstr>2024-05-31T14:12:22Z</vt:lpwstr>
  </property>
  <property fmtid="{D5CDD505-2E9C-101B-9397-08002B2CF9AE}" pid="11" name="MSIP_Label_ea60d57e-af5b-4752-ac57-3e4f28ca11dc_Method">
    <vt:lpwstr>Standard</vt:lpwstr>
  </property>
  <property fmtid="{D5CDD505-2E9C-101B-9397-08002B2CF9AE}" pid="12" name="MSIP_Label_ea60d57e-af5b-4752-ac57-3e4f28ca11dc_Name">
    <vt:lpwstr>ea60d57e-af5b-4752-ac57-3e4f28ca11dc</vt:lpwstr>
  </property>
  <property fmtid="{D5CDD505-2E9C-101B-9397-08002B2CF9AE}" pid="13" name="MSIP_Label_ea60d57e-af5b-4752-ac57-3e4f28ca11dc_SiteId">
    <vt:lpwstr>36da45f1-dd2c-4d1f-af13-5abe46b99921</vt:lpwstr>
  </property>
  <property fmtid="{D5CDD505-2E9C-101B-9397-08002B2CF9AE}" pid="14" name="MSIP_Label_ea60d57e-af5b-4752-ac57-3e4f28ca11dc_ActionId">
    <vt:lpwstr>0a8b9065-d902-4b0c-8795-9ad4274d165e</vt:lpwstr>
  </property>
  <property fmtid="{D5CDD505-2E9C-101B-9397-08002B2CF9AE}" pid="15" name="MSIP_Label_ea60d57e-af5b-4752-ac57-3e4f28ca11dc_ContentBits">
    <vt:lpwstr>0</vt:lpwstr>
  </property>
</Properties>
</file>